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0"/>
          <w:szCs w:val="30"/>
        </w:rPr>
        <w:t xml:space="preserve">《地球的圈层结构》剖面台</w:t>
      </w:r>
    </w:p>
    <w:p>
      <w:pPr>
        <w:spacing w:after="240"/>
        <w:jc w:val="center"/>
      </w:pPr>
      <w:r>
        <w:rPr>
          <w:rFonts w:ascii="Microsoft YaHei" w:cs="Microsoft YaHei" w:eastAsia="Microsoft YaHei" w:hAnsi="Microsoft YaHei"/>
          <w:b/>
          <w:bCs/>
          <w:color w:val="1f5fa8"/>
          <w:sz w:val="40"/>
          <w:szCs w:val="40"/>
        </w:rPr>
        <w:t xml:space="preserve">使 用 说 明</w:t>
      </w:r>
    </w:p>
    <w:p>
      <w:pPr>
        <w:pStyle w:val="Heading1"/>
        <w:spacing w:after="160" w:before="240"/>
      </w:pPr>
      <w:r>
        <w:rPr>
          <w:rFonts w:ascii="Microsoft YaHei" w:cs="Microsoft YaHei" w:eastAsia="Microsoft YaHei" w:hAnsi="Microsoft YaHei"/>
          <w:b/>
          <w:bCs/>
          <w:sz w:val="28"/>
          <w:szCs w:val="28"/>
        </w:rPr>
        <w:t xml:space="preserve">一、实验台简介</w:t>
      </w:r>
    </w:p>
    <w:p>
      <w:pPr>
        <w:spacing w:after="120" w:line="320"/>
      </w:pPr>
      <w:r>
        <w:rPr>
          <w:rFonts w:ascii="Microsoft YaHei" w:cs="Microsoft YaHei" w:eastAsia="Microsoft YaHei" w:hAnsi="Microsoft YaHei"/>
          <w:sz w:val="21"/>
          <w:szCs w:val="21"/>
        </w:rPr>
        <w:t xml:space="preserve">本剖面台为人教版高中地理必修第一册《地球的圈层结构》设计,用可拖动的深度探针与地震波曲线帮助学生认识地球的内部与外部圈层。单个网页文件,免安装、断网可用;内置AI助手'小球'与屏幕画笔。</w:t>
      </w:r>
    </w:p>
    <w:p>
      <w:pPr>
        <w:pStyle w:val="Heading1"/>
        <w:spacing w:after="160" w:before="240"/>
      </w:pPr>
      <w:r>
        <w:rPr>
          <w:rFonts w:ascii="Microsoft YaHei" w:cs="Microsoft YaHei" w:eastAsia="Microsoft YaHei" w:hAnsi="Microsoft YaHei"/>
          <w:b/>
          <w:bCs/>
          <w:sz w:val="28"/>
          <w:szCs w:val="28"/>
        </w:rPr>
        <w:t xml:space="preserve">二、运行方式</w:t>
      </w:r>
    </w:p>
    <w:p>
      <w:pPr>
        <w:pStyle w:val="ListParagraph"/>
        <w:numPr>
          <w:ilvl w:val="0"/>
          <w:numId w:val="2"/>
        </w:numPr>
        <w:spacing w:after="80" w:line="320"/>
      </w:pPr>
      <w:r>
        <w:rPr>
          <w:rFonts w:ascii="Microsoft YaHei" w:cs="Microsoft YaHei" w:eastAsia="Microsoft YaHei" w:hAnsi="Microsoft YaHei"/>
          <w:sz w:val="21"/>
          <w:szCs w:val="21"/>
        </w:rPr>
        <w:t xml:space="preserve">在线使用:浏览器打开课件页面即可(推荐 Chrome / Edge)。</w:t>
      </w:r>
    </w:p>
    <w:p>
      <w:pPr>
        <w:pStyle w:val="ListParagraph"/>
        <w:numPr>
          <w:ilvl w:val="0"/>
          <w:numId w:val="2"/>
        </w:numPr>
        <w:spacing w:after="80" w:line="320"/>
      </w:pPr>
      <w:r>
        <w:rPr>
          <w:rFonts w:ascii="Microsoft YaHei" w:cs="Microsoft YaHei" w:eastAsia="Microsoft YaHei" w:hAnsi="Microsoft YaHei"/>
          <w:sz w:val="21"/>
          <w:szCs w:val="21"/>
        </w:rPr>
        <w:t xml:space="preserve">离线使用:下载资源包,双击 index.html 即可运行,无需网络与安装。</w:t>
      </w:r>
    </w:p>
    <w:p>
      <w:pPr>
        <w:pStyle w:val="ListParagraph"/>
        <w:numPr>
          <w:ilvl w:val="0"/>
          <w:numId w:val="2"/>
        </w:numPr>
        <w:spacing w:after="80" w:line="320"/>
      </w:pPr>
      <w:r>
        <w:rPr>
          <w:rFonts w:ascii="Microsoft YaHei" w:cs="Microsoft YaHei" w:eastAsia="Microsoft YaHei" w:hAnsi="Microsoft YaHei"/>
          <w:sz w:val="21"/>
          <w:szCs w:val="21"/>
        </w:rPr>
        <w:t xml:space="preserve">上课前建议:按 F11 进入浏览器全屏;交互白板/一体机可直接用手指操作。</w:t>
      </w:r>
    </w:p>
    <w:p>
      <w:pPr>
        <w:pStyle w:val="Heading1"/>
        <w:spacing w:after="160" w:before="240"/>
      </w:pPr>
      <w:r>
        <w:rPr>
          <w:rFonts w:ascii="Microsoft YaHei" w:cs="Microsoft YaHei" w:eastAsia="Microsoft YaHei" w:hAnsi="Microsoft YaHei"/>
          <w:b/>
          <w:bCs/>
          <w:sz w:val="28"/>
          <w:szCs w:val="28"/>
        </w:rPr>
        <w:t xml:space="preserve">三、四个板块(顶部胶囊按钮切换)</w:t>
      </w:r>
    </w:p>
    <w:p>
      <w:pPr>
        <w:spacing w:after="120" w:line="320"/>
      </w:pPr>
      <w:r>
        <w:rPr>
          <w:rFonts w:ascii="Microsoft YaHei" w:cs="Microsoft YaHei" w:eastAsia="Microsoft YaHei" w:hAnsi="Microsoft YaHei"/>
          <w:sz w:val="21"/>
          <w:szCs w:val="21"/>
        </w:rPr>
        <w:t xml:space="preserve">顶部四个按钮对应本课的四个板块,顺序即建议的课堂教学顺序:</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1700"/>
        <w:gridCol w:w="4446"/>
      </w:tblGrid>
      <w:tr>
        <w:tc>
          <w:tcPr>
            <w:tcW w:type="dxa" w:w="9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区</w:t>
            </w:r>
          </w:p>
        </w:tc>
        <w:tc>
          <w:tcPr>
            <w:tcW w:type="dxa" w:w="23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名称</w:t>
            </w:r>
          </w:p>
        </w:tc>
        <w:tc>
          <w:tcPr>
            <w:tcW w:type="dxa" w:w="17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建议时长</w:t>
            </w:r>
          </w:p>
        </w:tc>
        <w:tc>
          <w:tcPr>
            <w:tcW w:type="dxa" w:w="44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核心操作</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①</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内部圈层</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约10分钟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拖'深度'探针穿过地壳/地幔/地核,看圈层、状态与莫霍/古登堡界面</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②</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地震波探秘</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约10分钟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看P波S波速度随深度变化,理解界面突变与S波消失→外核液态</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③</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外部圈层</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约8分钟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图示大气圈/水圈/生物圈及渗透关系,理解生物圈最活跃</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④</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约5分钟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四题检测分层顺序、界面、S波推断与外部圈层,点选即判给解析</w:t>
            </w:r>
          </w:p>
        </w:tc>
      </w:tr>
    </w:tbl>
    <w:p>
      <w:pPr>
        <w:pStyle w:val="Heading1"/>
        <w:spacing w:after="160" w:before="240"/>
      </w:pPr>
      <w:r>
        <w:rPr>
          <w:rFonts w:ascii="Microsoft YaHei" w:cs="Microsoft YaHei" w:eastAsia="Microsoft YaHei" w:hAnsi="Microsoft YaHei"/>
          <w:b/>
          <w:bCs/>
          <w:sz w:val="28"/>
          <w:szCs w:val="28"/>
        </w:rPr>
        <w:t xml:space="preserve">四、互动操作一览</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2300"/>
        <w:gridCol w:w="7046"/>
      </w:tblGrid>
      <w:tr>
        <w:tc>
          <w:tcPr>
            <w:tcW w:type="dxa" w:w="23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c>
          <w:tcPr>
            <w:tcW w:type="dxa" w:w="70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说明</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拖·内部圈层</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"内部圈层"板块拖"深度",探针从地表往地心走,按真实比例依次穿过地壳/地幔/地核,右侧显示所处圈层、状态与下一界面(莫霍/古登堡)。</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拖·地震波探秘</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"地震波探秘"板块拖"深度",看P波、S波速度曲线:莫霍界面波速突增、古登堡界面P波骤降且S波消失,推断外核为液态。</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看·外部圈层</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"外部圈层"板块图示大气圈、水圈、生物圈(及岩石圈上部),理解生物圈渗透于其他圈层、最活跃。</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四题检测内部分层顺序、两个界面、S波推断与外部圈层,点选即判给解析。</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小球 / 屏幕画笔</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点"让小球讲讲地球圈层"听AI讲解;右下角铅笔进入批注层(地理绿/橙/红三色,Esc 退出),圈画重点。</w:t>
            </w:r>
          </w:p>
        </w:tc>
      </w:tr>
    </w:tbl>
    <w:p>
      <w:pPr>
        <w:pStyle w:val="Heading1"/>
        <w:spacing w:after="160" w:before="240"/>
      </w:pPr>
      <w:r>
        <w:rPr>
          <w:rFonts w:ascii="Microsoft YaHei" w:cs="Microsoft YaHei" w:eastAsia="Microsoft YaHei" w:hAnsi="Microsoft YaHei"/>
          <w:b/>
          <w:bCs/>
          <w:sz w:val="28"/>
          <w:szCs w:val="28"/>
        </w:rPr>
        <w:t xml:space="preserve">五、PPT 直达与 URL 参数</w:t>
      </w:r>
    </w:p>
    <w:p>
      <w:pPr>
        <w:spacing w:after="120" w:line="320"/>
      </w:pPr>
      <w:r>
        <w:rPr>
          <w:rFonts w:ascii="Microsoft YaHei" w:cs="Microsoft YaHei" w:eastAsia="Microsoft YaHei" w:hAnsi="Microsoft YaHei"/>
          <w:sz w:val="21"/>
          <w:szCs w:val="21"/>
        </w:rPr>
        <w:t xml:space="preserve">配套课堂PPT每页设「直达按钮」,点击即跳到剖面台对应状态。原理是 URL 参数,你也可以手动使用:</w:t>
      </w:r>
    </w:p>
    <w:p>
      <w:pPr>
        <w:pStyle w:val="ListParagraph"/>
        <w:numPr>
          <w:ilvl w:val="0"/>
          <w:numId w:val="3"/>
        </w:numPr>
        <w:spacing w:after="80" w:line="320"/>
      </w:pPr>
      <w:r>
        <w:rPr>
          <w:rFonts w:ascii="Microsoft YaHei" w:cs="Microsoft YaHei" w:eastAsia="Microsoft YaHei" w:hAnsi="Microsoft YaHei"/>
          <w:sz w:val="21"/>
          <w:szCs w:val="21"/>
        </w:rPr>
        <w:t xml:space="preserve">?tab=inner&amp;depth=1500 内部圈层(地幔);?tab=wave&amp;wd=4000 地震波(过古登堡)</w:t>
      </w:r>
    </w:p>
    <w:p>
      <w:pPr>
        <w:pStyle w:val="ListParagraph"/>
        <w:numPr>
          <w:ilvl w:val="0"/>
          <w:numId w:val="3"/>
        </w:numPr>
        <w:spacing w:after="80" w:line="320"/>
      </w:pPr>
      <w:r>
        <w:rPr>
          <w:rFonts w:ascii="Microsoft YaHei" w:cs="Microsoft YaHei" w:eastAsia="Microsoft YaHei" w:hAnsi="Microsoft YaHei"/>
          <w:sz w:val="21"/>
          <w:szCs w:val="21"/>
        </w:rPr>
        <w:t xml:space="preserve">?tab=outer 外部圈层;?tab=quiz 闯关</w:t>
      </w:r>
    </w:p>
    <w:p>
      <w:pPr>
        <w:pStyle w:val="Heading1"/>
        <w:spacing w:after="160" w:before="240"/>
      </w:pPr>
      <w:r>
        <w:rPr>
          <w:rFonts w:ascii="Microsoft YaHei" w:cs="Microsoft YaHei" w:eastAsia="Microsoft YaHei" w:hAnsi="Microsoft YaHei"/>
          <w:b/>
          <w:bCs/>
          <w:sz w:val="28"/>
          <w:szCs w:val="28"/>
        </w:rPr>
        <w:t xml:space="preserve">六、AI 功能说明(小球)</w:t>
      </w:r>
    </w:p>
    <w:p>
      <w:pPr>
        <w:pStyle w:val="ListParagraph"/>
        <w:numPr>
          <w:ilvl w:val="0"/>
          <w:numId w:val="3"/>
        </w:numPr>
        <w:spacing w:after="80" w:line="320"/>
      </w:pPr>
      <w:r>
        <w:rPr>
          <w:rFonts w:ascii="Microsoft YaHei" w:cs="Microsoft YaHei" w:eastAsia="Microsoft YaHei" w:hAnsi="Microsoft YaHei"/>
          <w:sz w:val="21"/>
          <w:szCs w:val="21"/>
        </w:rPr>
        <w:t xml:space="preserve">「让小球讲讲地球圈层」:点击后小球讲解地球内部三层与两界面、地震波的探测原理、外部圈层及其关系;未接入AI时使用内置离线讲解。</w:t>
      </w:r>
    </w:p>
    <w:p>
      <w:pPr>
        <w:pStyle w:val="ListParagraph"/>
        <w:numPr>
          <w:ilvl w:val="0"/>
          <w:numId w:val="3"/>
        </w:numPr>
        <w:spacing w:after="80" w:line="320"/>
      </w:pPr>
      <w:r>
        <w:rPr>
          <w:rFonts w:ascii="Microsoft YaHei" w:cs="Microsoft YaHei" w:eastAsia="Microsoft YaHei" w:hAnsi="Microsoft YaHei"/>
          <w:sz w:val="21"/>
          <w:szCs w:val="21"/>
        </w:rPr>
        <w:t xml:space="preserve">在光鹿网站在线使用时AI由光鹿在线提供,无需配置;下载到本地后可接教师自己的大模型Key。</w:t>
      </w:r>
    </w:p>
    <w:p>
      <w:pPr>
        <w:pStyle w:val="ListParagraph"/>
        <w:numPr>
          <w:ilvl w:val="0"/>
          <w:numId w:val="3"/>
        </w:numPr>
        <w:spacing w:after="80" w:line="320"/>
      </w:pPr>
      <w:r>
        <w:rPr>
          <w:rFonts w:ascii="Microsoft YaHei" w:cs="Microsoft YaHei" w:eastAsia="Microsoft YaHei" w:hAnsi="Microsoft YaHei"/>
          <w:sz w:val="21"/>
          <w:szCs w:val="21"/>
        </w:rPr>
        <w:t xml:space="preserve">不配置AI没有任何影响:全部剖面、曲线、闯关、离线讲解照常可用。</w:t>
      </w:r>
    </w:p>
    <w:p>
      <w:pPr>
        <w:spacing w:after="120" w:line="320"/>
        <w:rPr>
          <w:color w:val="666666"/>
          <w:sz w:val="19"/>
          <w:szCs w:val="19"/>
        </w:rPr>
      </w:pPr>
      <w:r>
        <w:rPr>
          <w:rFonts w:ascii="Microsoft YaHei" w:cs="Microsoft YaHei" w:eastAsia="Microsoft YaHei" w:hAnsi="Microsoft YaHei"/>
          <w:color w:val="666666"/>
          <w:sz w:val="19"/>
          <w:szCs w:val="19"/>
        </w:rPr>
        <w:t xml:space="preserve">本剖面台按教材呈现:内部圈层按真实比例(地壳33km、古登堡2900km、内核5150km)绘制,地震波P波/S波速度曲线在莫霍界面突增、古登堡界面P波骤降且S波消失(S波只在固体传播→外核液态),示意图与推断自洽;讲解内容经教学校验,贴合人教版必修一对《地球的圈层结构》的要求。</w:t>
      </w:r>
    </w:p>
    <w:p>
      <w:pPr>
        <w:pStyle w:val="Heading1"/>
        <w:spacing w:after="160" w:before="240"/>
      </w:pPr>
      <w:r>
        <w:rPr>
          <w:rFonts w:ascii="Microsoft YaHei" w:cs="Microsoft YaHei" w:eastAsia="Microsoft YaHei" w:hAnsi="Microsoft YaHei"/>
          <w:b/>
          <w:bCs/>
          <w:sz w:val="28"/>
          <w:szCs w:val="28"/>
        </w:rPr>
        <w:t xml:space="preserve">七、接入你自己的大模型(可选)</w:t>
      </w:r>
    </w:p>
    <w:p>
      <w:pPr>
        <w:spacing w:after="120" w:line="320"/>
      </w:pPr>
      <w:r>
        <w:rPr>
          <w:rFonts w:ascii="Microsoft YaHei" w:cs="Microsoft YaHei" w:eastAsia="Microsoft YaHei" w:hAnsi="Microsoft YaHei"/>
          <w:sz w:val="21"/>
          <w:szCs w:val="21"/>
        </w:rPr>
        <w:t xml:space="preserve">下载版预留开放 AI 接口:接入你自己的大模型账号即可解锁「问小球」实时问答与AI讲解,按量计费由你的服务商收取(一节课的问答通常只需几分钱到几角钱)。</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400"/>
        <w:gridCol w:w="7946"/>
      </w:tblGrid>
      <w:tr>
        <w:tc>
          <w:tcPr>
            <w:tcW w:type="dxa" w:w="14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步骤</w:t>
            </w:r>
          </w:p>
        </w:tc>
        <w:tc>
          <w:tcPr>
            <w:tcW w:type="dxa" w:w="79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第1步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点击右上角「AI 接入」,打开配置面板。</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第2步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选择服务商:国内推荐 DeepSeek / 通义千问 / 智谱GLM / Kimi / 豆包;也支持 Claude / ChatGPT / Gemini 及任意 OpenAI 兼容接口。</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第3步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粘贴你在该服务商官网申请的 API Key(模型与接口地址已自动填好),点「测试并保存」。</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第4步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测试通过后,右下角「问小球」与「AI讲解」即接入你的大模型。</w:t>
            </w:r>
          </w:p>
        </w:tc>
      </w:tr>
    </w:tbl>
    <w:p>
      <w:pPr>
        <w:spacing w:after="120" w:line="320"/>
        <w:rPr>
          <w:b/>
          <w:bCs/>
        </w:rPr>
      </w:pPr>
      <w:r>
        <w:rPr>
          <w:rFonts w:ascii="Microsoft YaHei" w:cs="Microsoft YaHei" w:eastAsia="Microsoft YaHei" w:hAnsi="Microsoft YaHei"/>
          <w:b/>
          <w:bCs/>
          <w:sz w:val="21"/>
          <w:szCs w:val="21"/>
        </w:rPr>
        <w:t xml:space="preserve">提示:Key 仅保存在本机浏览器,不会上传;不配置则自动使用内置离线归纳,全部演示不受影响。</w:t>
      </w:r>
    </w:p>
    <w:p>
      <w:pPr>
        <w:pStyle w:val="Heading1"/>
        <w:spacing w:after="160" w:before="240"/>
      </w:pPr>
      <w:r>
        <w:rPr>
          <w:rFonts w:ascii="Microsoft YaHei" w:cs="Microsoft YaHei" w:eastAsia="Microsoft YaHei" w:hAnsi="Microsoft YaHei"/>
          <w:b/>
          <w:bCs/>
          <w:sz w:val="28"/>
          <w:szCs w:val="28"/>
        </w:rPr>
        <w:t xml:space="preserve">八、常见问题</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3400"/>
        <w:gridCol w:w="5946"/>
      </w:tblGrid>
      <w:tr>
        <w:tc>
          <w:tcPr>
            <w:tcW w:type="dxa" w:w="34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问题</w:t>
            </w:r>
          </w:p>
        </w:tc>
        <w:tc>
          <w:tcPr>
            <w:tcW w:type="dxa" w:w="59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解决</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没有网络能用吗?</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能。剖面台自包含,双击本地 index.html 即可运行全部内部圈层、地震波曲线、外部圈层、闯关与离线讲解。仅"问小球"实时问答需联网。</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"内部圈层""地震波探秘"拖"深度"滑块;"外部圈层"看示意图。</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不配置 AI 会怎样?</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没有任何影响:全部操作与离线讲解照常可用。在光鹿网站在线使用时则无需配置,AI 由光鹿在线提供。</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?tab=inner&amp;depth=1500、?tab=wave&amp;wd=4000、?tab=outer、?tab=quiz——配套PPT的直达按钮即如此。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全屏;交互白板/一体机可直接用手指拖滑块。</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'内部圈层''地震波探秘'拖'深度'滑块;'外部圈层'看示意图。</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?tab=inner&amp;depth=1500、?tab=wave&amp;wd=4000、?tab=outer、?tab=quiz——配套PPT的直达按钮即如此。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全屏;交互白板/一体机可直接用手指拖滑块。</w:t>
            </w:r>
          </w:p>
        </w:tc>
      </w:tr>
    </w:tbl>
    <w:p>
      <w:pPr>
        <w:pStyle w:val="Heading1"/>
        <w:spacing w:after="160" w:before="240"/>
      </w:pPr>
      <w:r>
        <w:rPr>
          <w:rFonts w:ascii="Microsoft YaHei" w:cs="Microsoft YaHei" w:eastAsia="Microsoft YaHei" w:hAnsi="Microsoft YaHei"/>
          <w:b/>
          <w:bCs/>
          <w:sz w:val="28"/>
          <w:szCs w:val="28"/>
        </w:rPr>
        <w:t xml:space="preserve">九、教学建议</w:t>
      </w:r>
    </w:p>
    <w:p>
      <w:pPr>
        <w:pStyle w:val="ListParagraph"/>
        <w:numPr>
          <w:ilvl w:val="0"/>
          <w:numId w:val="3"/>
        </w:numPr>
        <w:spacing w:after="80" w:line="320"/>
      </w:pPr>
      <w:r>
        <w:rPr>
          <w:rFonts w:ascii="Microsoft YaHei" w:cs="Microsoft YaHei" w:eastAsia="Microsoft YaHei" w:hAnsi="Microsoft YaHei"/>
          <w:sz w:val="21"/>
          <w:szCs w:val="21"/>
        </w:rPr>
        <w:t xml:space="preserve">先证据后结论:先让学生看地震波速度曲线的突变,再引出界面与分层,体会"用证据推断内部"的方法。</w:t>
      </w:r>
    </w:p>
    <w:p>
      <w:pPr>
        <w:pStyle w:val="ListParagraph"/>
        <w:numPr>
          <w:ilvl w:val="0"/>
          <w:numId w:val="3"/>
        </w:numPr>
        <w:spacing w:after="80" w:line="320"/>
      </w:pPr>
      <w:r>
        <w:rPr>
          <w:rFonts w:ascii="Microsoft YaHei" w:cs="Microsoft YaHei" w:eastAsia="Microsoft YaHei" w:hAnsi="Microsoft YaHei"/>
          <w:sz w:val="21"/>
          <w:szCs w:val="21"/>
        </w:rPr>
        <w:t xml:space="preserve">抓住关键证据:重点讲S波在古登堡界面消失→外核液态,落实本课难点。</w:t>
      </w:r>
    </w:p>
    <w:p>
      <w:pPr>
        <w:pStyle w:val="ListParagraph"/>
        <w:numPr>
          <w:ilvl w:val="0"/>
          <w:numId w:val="3"/>
        </w:numPr>
        <w:spacing w:after="80" w:line="320"/>
      </w:pPr>
      <w:r>
        <w:rPr>
          <w:rFonts w:ascii="Microsoft YaHei" w:cs="Microsoft YaHei" w:eastAsia="Microsoft YaHei" w:hAnsi="Microsoft YaHei"/>
          <w:sz w:val="21"/>
          <w:szCs w:val="21"/>
        </w:rPr>
        <w:t xml:space="preserve">辨清易混点:区分莫霍界面与古登堡界面、外核(液)与内核(固)、地壳与岩石圈。</w:t>
      </w:r>
    </w:p>
    <w:p>
      <w:pPr>
        <w:pStyle w:val="ListParagraph"/>
        <w:numPr>
          <w:ilvl w:val="0"/>
          <w:numId w:val="3"/>
        </w:numPr>
        <w:spacing w:after="80" w:line="320"/>
      </w:pPr>
      <w:r>
        <w:rPr>
          <w:rFonts w:ascii="Microsoft YaHei" w:cs="Microsoft YaHei" w:eastAsia="Microsoft YaHei" w:hAnsi="Microsoft YaHei"/>
          <w:sz w:val="21"/>
          <w:szCs w:val="21"/>
        </w:rPr>
        <w:t xml:space="preserve">建立整体观:把内部三层与外部三圈联系起来,形成地球圈层的整体认识,联系软流层与岩浆。</w:t>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人教版高中地理必修一</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2026-06-16T16:07:13.408Z</dcterms:created>
  <dcterms:modified xsi:type="dcterms:W3CDTF">2026-06-16T16:07:13.408Z</dcterms:modified>
</cp:coreProperties>
</file>

<file path=docProps/custom.xml><?xml version="1.0" encoding="utf-8"?>
<Properties xmlns="http://schemas.openxmlformats.org/officeDocument/2006/custom-properties" xmlns:vt="http://schemas.openxmlformats.org/officeDocument/2006/docPropsVTypes"/>
</file>